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W w:w="0" w:type="auto"/>
        <w:tblLayout w:type="fixed"/>
        <w:tblLook w:val="04A0" w:firstRow="1" w:lastRow="0" w:firstColumn="1" w:lastColumn="0" w:noHBand="0" w:noVBand="1"/>
      </w:tblPr>
      <w:tblGrid>
        <w:gridCol w:w="2158"/>
        <w:gridCol w:w="720"/>
        <w:gridCol w:w="2592"/>
        <w:gridCol w:w="2592"/>
        <w:gridCol w:w="2592"/>
      </w:tblGrid>
      <w:tr w:rsidR="00310AB5" w:rsidRPr="005931B2" w14:paraId="3FA4EF88" w14:textId="77777777" w:rsidTr="003D4F23">
        <w:tc>
          <w:tcPr>
            <w:tcW w:w="2158" w:type="dxa"/>
          </w:tcPr>
          <w:p w14:paraId="03321A07" w14:textId="77777777" w:rsidR="00310AB5" w:rsidRPr="005931B2" w:rsidRDefault="00310AB5" w:rsidP="003D4F23">
            <w:pPr>
              <w:jc w:val="center"/>
              <w:rPr>
                <w:rFonts w:ascii="Century Gothic" w:hAnsi="Century Gothic"/>
                <w:b/>
                <w:bCs/>
                <w:sz w:val="24"/>
                <w:szCs w:val="24"/>
              </w:rPr>
            </w:pPr>
            <w:r w:rsidRPr="005931B2">
              <w:rPr>
                <w:rFonts w:ascii="Century Gothic" w:hAnsi="Century Gothic"/>
                <w:b/>
                <w:bCs/>
                <w:sz w:val="24"/>
                <w:szCs w:val="24"/>
              </w:rPr>
              <w:t>Friday</w:t>
            </w:r>
          </w:p>
        </w:tc>
        <w:tc>
          <w:tcPr>
            <w:tcW w:w="720" w:type="dxa"/>
          </w:tcPr>
          <w:p w14:paraId="341D30D2" w14:textId="77777777" w:rsidR="00310AB5" w:rsidRPr="005931B2" w:rsidRDefault="00310AB5" w:rsidP="003D4F23">
            <w:pPr>
              <w:jc w:val="center"/>
              <w:rPr>
                <w:rFonts w:ascii="Century Gothic" w:hAnsi="Century Gothic"/>
                <w:b/>
                <w:bCs/>
                <w:sz w:val="24"/>
                <w:szCs w:val="24"/>
              </w:rPr>
            </w:pPr>
          </w:p>
        </w:tc>
        <w:tc>
          <w:tcPr>
            <w:tcW w:w="2592" w:type="dxa"/>
          </w:tcPr>
          <w:p w14:paraId="5EE6BD8F" w14:textId="77777777" w:rsidR="00310AB5" w:rsidRPr="005931B2" w:rsidRDefault="00310AB5" w:rsidP="003D4F23">
            <w:pPr>
              <w:jc w:val="center"/>
              <w:rPr>
                <w:rFonts w:ascii="Century Gothic" w:hAnsi="Century Gothic"/>
                <w:b/>
                <w:bCs/>
                <w:sz w:val="24"/>
                <w:szCs w:val="24"/>
              </w:rPr>
            </w:pPr>
            <w:r w:rsidRPr="005931B2">
              <w:rPr>
                <w:rFonts w:ascii="Century Gothic" w:hAnsi="Century Gothic"/>
                <w:b/>
                <w:bCs/>
                <w:sz w:val="24"/>
                <w:szCs w:val="24"/>
              </w:rPr>
              <w:t>1:00 – 2:30</w:t>
            </w:r>
          </w:p>
        </w:tc>
        <w:tc>
          <w:tcPr>
            <w:tcW w:w="2592" w:type="dxa"/>
          </w:tcPr>
          <w:p w14:paraId="5502FC8D" w14:textId="77777777" w:rsidR="00310AB5" w:rsidRPr="005931B2" w:rsidRDefault="00310AB5" w:rsidP="003D4F23">
            <w:pPr>
              <w:jc w:val="center"/>
              <w:rPr>
                <w:rFonts w:ascii="Century Gothic" w:hAnsi="Century Gothic"/>
                <w:b/>
                <w:bCs/>
                <w:sz w:val="24"/>
                <w:szCs w:val="24"/>
              </w:rPr>
            </w:pPr>
            <w:r w:rsidRPr="005931B2">
              <w:rPr>
                <w:rFonts w:ascii="Century Gothic" w:hAnsi="Century Gothic"/>
                <w:b/>
                <w:bCs/>
                <w:sz w:val="24"/>
                <w:szCs w:val="24"/>
              </w:rPr>
              <w:t>2:45 – 4:15</w:t>
            </w:r>
          </w:p>
        </w:tc>
        <w:tc>
          <w:tcPr>
            <w:tcW w:w="2592" w:type="dxa"/>
          </w:tcPr>
          <w:p w14:paraId="6E9F92BF" w14:textId="77777777" w:rsidR="00310AB5" w:rsidRDefault="00310AB5" w:rsidP="003D4F23">
            <w:pPr>
              <w:jc w:val="center"/>
              <w:rPr>
                <w:rFonts w:ascii="Century Gothic" w:hAnsi="Century Gothic"/>
                <w:b/>
                <w:bCs/>
                <w:sz w:val="20"/>
                <w:szCs w:val="20"/>
              </w:rPr>
            </w:pPr>
            <w:r w:rsidRPr="0036466C">
              <w:rPr>
                <w:rFonts w:ascii="Century Gothic" w:hAnsi="Century Gothic"/>
                <w:b/>
                <w:bCs/>
                <w:sz w:val="20"/>
                <w:szCs w:val="20"/>
              </w:rPr>
              <w:t>Members Only Training</w:t>
            </w:r>
          </w:p>
          <w:p w14:paraId="7ACDAE4E" w14:textId="77777777" w:rsidR="00310AB5" w:rsidRPr="0036466C" w:rsidRDefault="00310AB5" w:rsidP="003D4F23">
            <w:pPr>
              <w:jc w:val="center"/>
              <w:rPr>
                <w:rFonts w:ascii="Century Gothic" w:hAnsi="Century Gothic"/>
                <w:b/>
                <w:bCs/>
                <w:sz w:val="20"/>
                <w:szCs w:val="20"/>
              </w:rPr>
            </w:pPr>
            <w:r>
              <w:rPr>
                <w:rFonts w:ascii="Century Gothic" w:hAnsi="Century Gothic"/>
                <w:b/>
                <w:bCs/>
                <w:sz w:val="20"/>
                <w:szCs w:val="20"/>
              </w:rPr>
              <w:t>7:00 – 9:00</w:t>
            </w:r>
          </w:p>
        </w:tc>
      </w:tr>
      <w:tr w:rsidR="00310AB5" w14:paraId="252F185C" w14:textId="77777777" w:rsidTr="003D4F23">
        <w:trPr>
          <w:trHeight w:val="432"/>
        </w:trPr>
        <w:tc>
          <w:tcPr>
            <w:tcW w:w="2158" w:type="dxa"/>
            <w:vAlign w:val="center"/>
          </w:tcPr>
          <w:p w14:paraId="3585FE5D" w14:textId="77777777" w:rsidR="00310AB5" w:rsidRDefault="00310AB5" w:rsidP="003D4F23">
            <w:pPr>
              <w:rPr>
                <w:rFonts w:ascii="Century Gothic" w:hAnsi="Century Gothic"/>
                <w:sz w:val="24"/>
                <w:szCs w:val="24"/>
              </w:rPr>
            </w:pPr>
            <w:r>
              <w:rPr>
                <w:rFonts w:ascii="Century Gothic" w:hAnsi="Century Gothic"/>
                <w:sz w:val="24"/>
                <w:szCs w:val="24"/>
              </w:rPr>
              <w:t>RR D2/D3</w:t>
            </w:r>
          </w:p>
        </w:tc>
        <w:tc>
          <w:tcPr>
            <w:tcW w:w="720" w:type="dxa"/>
          </w:tcPr>
          <w:p w14:paraId="707BF3F9" w14:textId="77777777" w:rsidR="00310AB5" w:rsidRDefault="00310AB5" w:rsidP="003D4F23">
            <w:pPr>
              <w:jc w:val="center"/>
              <w:rPr>
                <w:rFonts w:ascii="Century Gothic" w:hAnsi="Century Gothic"/>
                <w:sz w:val="24"/>
                <w:szCs w:val="24"/>
              </w:rPr>
            </w:pPr>
            <w:r>
              <w:rPr>
                <w:rFonts w:ascii="Century Gothic" w:hAnsi="Century Gothic"/>
                <w:sz w:val="24"/>
                <w:szCs w:val="24"/>
              </w:rPr>
              <w:t>60</w:t>
            </w:r>
          </w:p>
        </w:tc>
        <w:tc>
          <w:tcPr>
            <w:tcW w:w="2592" w:type="dxa"/>
          </w:tcPr>
          <w:p w14:paraId="5E4B8E84" w14:textId="77777777" w:rsidR="00310AB5" w:rsidRPr="007E3E98" w:rsidRDefault="00310AB5" w:rsidP="003D4F23">
            <w:pPr>
              <w:jc w:val="center"/>
              <w:rPr>
                <w:rFonts w:ascii="Century Gothic" w:hAnsi="Century Gothic"/>
                <w:sz w:val="20"/>
                <w:szCs w:val="20"/>
              </w:rPr>
            </w:pPr>
            <w:r w:rsidRPr="007E3E98">
              <w:rPr>
                <w:rFonts w:ascii="Century Gothic" w:hAnsi="Century Gothic"/>
                <w:sz w:val="20"/>
                <w:szCs w:val="20"/>
              </w:rPr>
              <w:t>Amy</w:t>
            </w:r>
            <w:r>
              <w:rPr>
                <w:rFonts w:ascii="Century Gothic" w:hAnsi="Century Gothic"/>
                <w:sz w:val="20"/>
                <w:szCs w:val="20"/>
              </w:rPr>
              <w:t xml:space="preserve"> Nelson</w:t>
            </w:r>
          </w:p>
          <w:p w14:paraId="13A74FEC" w14:textId="77777777" w:rsidR="00310AB5" w:rsidRPr="007E3E98" w:rsidRDefault="00310AB5" w:rsidP="003D4F23">
            <w:pPr>
              <w:rPr>
                <w:rFonts w:ascii="Century Gothic" w:hAnsi="Century Gothic" w:cs="Times New Roman"/>
                <w:sz w:val="16"/>
                <w:szCs w:val="16"/>
              </w:rPr>
            </w:pPr>
            <w:r w:rsidRPr="007E3E98">
              <w:rPr>
                <w:rFonts w:ascii="Century Gothic" w:hAnsi="Century Gothic" w:cs="Calibri"/>
                <w:b/>
                <w:bCs/>
                <w:color w:val="000000"/>
                <w:sz w:val="16"/>
                <w:szCs w:val="16"/>
              </w:rPr>
              <w:t>Play the Wiggles Away: Strategies for Teaching Self- Regulation</w:t>
            </w:r>
            <w:r w:rsidRPr="007E3E98">
              <w:rPr>
                <w:rFonts w:ascii="Century Gothic" w:hAnsi="Century Gothic" w:cs="Calibri"/>
                <w:color w:val="000000"/>
                <w:sz w:val="16"/>
                <w:szCs w:val="16"/>
              </w:rPr>
              <w:t xml:space="preserve"> - </w:t>
            </w:r>
            <w:r w:rsidRPr="007E3E98">
              <w:rPr>
                <w:rFonts w:ascii="Century Gothic" w:hAnsi="Century Gothic" w:cs="Times New Roman"/>
                <w:sz w:val="16"/>
                <w:szCs w:val="16"/>
              </w:rPr>
              <w:t xml:space="preserve">In order to support the development of self-regulation in young children, childcare providers need to understand the science behind how these skills develop. In this training childcare providers will learn about the benefits of play and how it contributes to the development of self-regulation. Participants will have an opportunity to practice play-based strategies to promote the development of self-regulation with the children in their care. </w:t>
            </w:r>
          </w:p>
          <w:p w14:paraId="14B1CEC7" w14:textId="77777777" w:rsidR="00310AB5" w:rsidRPr="007E3E98" w:rsidRDefault="00310AB5" w:rsidP="003D4F23">
            <w:pPr>
              <w:jc w:val="center"/>
              <w:rPr>
                <w:rFonts w:ascii="Century Gothic" w:hAnsi="Century Gothic"/>
                <w:i/>
                <w:iCs/>
                <w:sz w:val="24"/>
                <w:szCs w:val="24"/>
              </w:rPr>
            </w:pPr>
          </w:p>
        </w:tc>
        <w:tc>
          <w:tcPr>
            <w:tcW w:w="2592" w:type="dxa"/>
          </w:tcPr>
          <w:p w14:paraId="04566B0F" w14:textId="77777777" w:rsidR="00310AB5" w:rsidRPr="007E3E98" w:rsidRDefault="00310AB5" w:rsidP="003D4F23">
            <w:pPr>
              <w:jc w:val="center"/>
              <w:rPr>
                <w:rFonts w:ascii="Century Gothic" w:hAnsi="Century Gothic"/>
                <w:sz w:val="20"/>
                <w:szCs w:val="20"/>
              </w:rPr>
            </w:pPr>
            <w:r w:rsidRPr="007E3E98">
              <w:rPr>
                <w:rFonts w:ascii="Century Gothic" w:hAnsi="Century Gothic"/>
                <w:sz w:val="20"/>
                <w:szCs w:val="20"/>
              </w:rPr>
              <w:t>Amy</w:t>
            </w:r>
            <w:r>
              <w:rPr>
                <w:rFonts w:ascii="Century Gothic" w:hAnsi="Century Gothic"/>
                <w:sz w:val="20"/>
                <w:szCs w:val="20"/>
              </w:rPr>
              <w:t xml:space="preserve"> Nelson</w:t>
            </w:r>
          </w:p>
          <w:p w14:paraId="0255CBDC" w14:textId="77777777" w:rsidR="00310AB5" w:rsidRPr="007E3E98" w:rsidRDefault="00310AB5" w:rsidP="003D4F23">
            <w:pPr>
              <w:rPr>
                <w:rFonts w:ascii="Century Gothic" w:hAnsi="Century Gothic" w:cs="Times New Roman"/>
                <w:sz w:val="16"/>
                <w:szCs w:val="16"/>
              </w:rPr>
            </w:pPr>
            <w:r w:rsidRPr="007E3E98">
              <w:rPr>
                <w:rFonts w:ascii="Century Gothic" w:hAnsi="Century Gothic" w:cs="Calibri"/>
                <w:b/>
                <w:bCs/>
                <w:color w:val="000000"/>
                <w:sz w:val="16"/>
                <w:szCs w:val="16"/>
              </w:rPr>
              <w:t>Mistake Goals of Misbehavior: The Crucial C’s Kids Need to Succeed</w:t>
            </w:r>
            <w:r w:rsidRPr="007E3E98">
              <w:rPr>
                <w:rFonts w:ascii="Century Gothic" w:hAnsi="Century Gothic" w:cs="Calibri"/>
                <w:color w:val="000000"/>
                <w:sz w:val="16"/>
                <w:szCs w:val="16"/>
              </w:rPr>
              <w:t xml:space="preserve"> - </w:t>
            </w:r>
            <w:r w:rsidRPr="007E3E98">
              <w:rPr>
                <w:rFonts w:ascii="Century Gothic" w:hAnsi="Century Gothic" w:cs="Times New Roman"/>
                <w:sz w:val="16"/>
                <w:szCs w:val="16"/>
              </w:rPr>
              <w:t xml:space="preserve">Having a challenging child in your care can disrupt your whole internal state. It can make you feel inadequate, incompetent, intimidated and inferior. It can also be an opportunity to grow yourself personally and professionally in ways you never thought you’d stretch. Effective discipline recognizes the reasons why kids do what they do and works to change those beliefs, rather than merely attempting to change behavior. This training will help childcare providers understand the purpose behind misbehavior and teach them how to work with the issue, rather than against it. </w:t>
            </w:r>
          </w:p>
          <w:p w14:paraId="307A6D3F" w14:textId="77777777" w:rsidR="00310AB5" w:rsidRPr="007E3E98" w:rsidRDefault="00310AB5" w:rsidP="003D4F23">
            <w:pPr>
              <w:jc w:val="center"/>
              <w:rPr>
                <w:rFonts w:ascii="Century Gothic" w:hAnsi="Century Gothic"/>
                <w:sz w:val="16"/>
                <w:szCs w:val="16"/>
              </w:rPr>
            </w:pPr>
          </w:p>
          <w:p w14:paraId="63BDD7D0" w14:textId="77777777" w:rsidR="00310AB5" w:rsidRPr="007E3E98" w:rsidRDefault="00310AB5" w:rsidP="003D4F23">
            <w:pPr>
              <w:jc w:val="center"/>
              <w:rPr>
                <w:rFonts w:ascii="Century Gothic" w:hAnsi="Century Gothic"/>
                <w:sz w:val="16"/>
                <w:szCs w:val="16"/>
              </w:rPr>
            </w:pPr>
          </w:p>
        </w:tc>
        <w:tc>
          <w:tcPr>
            <w:tcW w:w="2592" w:type="dxa"/>
          </w:tcPr>
          <w:p w14:paraId="050D33D0" w14:textId="77777777" w:rsidR="00310AB5" w:rsidRDefault="00310AB5" w:rsidP="003D4F23">
            <w:pPr>
              <w:jc w:val="center"/>
              <w:rPr>
                <w:rFonts w:ascii="Century Gothic" w:hAnsi="Century Gothic"/>
                <w:sz w:val="20"/>
                <w:szCs w:val="20"/>
              </w:rPr>
            </w:pPr>
            <w:r w:rsidRPr="0036466C">
              <w:rPr>
                <w:rFonts w:ascii="Century Gothic" w:hAnsi="Century Gothic"/>
                <w:sz w:val="20"/>
                <w:szCs w:val="20"/>
              </w:rPr>
              <w:t xml:space="preserve">Gina Blessing </w:t>
            </w:r>
          </w:p>
          <w:p w14:paraId="66895F98" w14:textId="77777777" w:rsidR="00310AB5" w:rsidRDefault="00310AB5" w:rsidP="003D4F23">
            <w:pPr>
              <w:jc w:val="center"/>
              <w:rPr>
                <w:rFonts w:ascii="Century Gothic" w:hAnsi="Century Gothic"/>
                <w:sz w:val="20"/>
                <w:szCs w:val="20"/>
              </w:rPr>
            </w:pPr>
            <w:r w:rsidRPr="0036466C">
              <w:rPr>
                <w:rFonts w:ascii="Century Gothic" w:hAnsi="Century Gothic"/>
                <w:sz w:val="20"/>
                <w:szCs w:val="20"/>
              </w:rPr>
              <w:t>Angie Carnes</w:t>
            </w:r>
          </w:p>
          <w:p w14:paraId="3F252A6D" w14:textId="77777777" w:rsidR="00310AB5" w:rsidRDefault="00310AB5" w:rsidP="003D4F23">
            <w:pPr>
              <w:jc w:val="center"/>
              <w:rPr>
                <w:rFonts w:ascii="Century Gothic" w:hAnsi="Century Gothic"/>
                <w:b/>
                <w:bCs/>
                <w:sz w:val="16"/>
                <w:szCs w:val="16"/>
              </w:rPr>
            </w:pPr>
            <w:r w:rsidRPr="00CD6817">
              <w:rPr>
                <w:rFonts w:ascii="Century Gothic" w:hAnsi="Century Gothic"/>
                <w:b/>
                <w:bCs/>
                <w:sz w:val="16"/>
                <w:szCs w:val="16"/>
              </w:rPr>
              <w:t>Planting Seeds for Success</w:t>
            </w:r>
          </w:p>
          <w:p w14:paraId="0FD97A22" w14:textId="77777777" w:rsidR="00310AB5" w:rsidRPr="00CD6817" w:rsidRDefault="00310AB5" w:rsidP="003D4F23">
            <w:pPr>
              <w:jc w:val="center"/>
              <w:rPr>
                <w:rFonts w:ascii="Century Gothic" w:hAnsi="Century Gothic"/>
                <w:b/>
                <w:bCs/>
                <w:sz w:val="16"/>
                <w:szCs w:val="16"/>
              </w:rPr>
            </w:pPr>
          </w:p>
        </w:tc>
      </w:tr>
      <w:tr w:rsidR="00310AB5" w14:paraId="7E890517" w14:textId="77777777" w:rsidTr="003D4F23">
        <w:trPr>
          <w:trHeight w:val="432"/>
        </w:trPr>
        <w:tc>
          <w:tcPr>
            <w:tcW w:w="2158" w:type="dxa"/>
            <w:vAlign w:val="center"/>
          </w:tcPr>
          <w:p w14:paraId="1AC64921" w14:textId="77777777" w:rsidR="00310AB5" w:rsidRDefault="00310AB5" w:rsidP="003D4F23">
            <w:pPr>
              <w:rPr>
                <w:rFonts w:ascii="Century Gothic" w:hAnsi="Century Gothic"/>
                <w:sz w:val="24"/>
                <w:szCs w:val="24"/>
              </w:rPr>
            </w:pPr>
            <w:r>
              <w:rPr>
                <w:rFonts w:ascii="Century Gothic" w:hAnsi="Century Gothic"/>
                <w:sz w:val="24"/>
                <w:szCs w:val="24"/>
              </w:rPr>
              <w:t>BB – A/B</w:t>
            </w:r>
          </w:p>
        </w:tc>
        <w:tc>
          <w:tcPr>
            <w:tcW w:w="720" w:type="dxa"/>
          </w:tcPr>
          <w:p w14:paraId="43F04A4F" w14:textId="77777777" w:rsidR="00310AB5" w:rsidRDefault="00310AB5" w:rsidP="003D4F23">
            <w:pPr>
              <w:jc w:val="center"/>
              <w:rPr>
                <w:rFonts w:ascii="Century Gothic" w:hAnsi="Century Gothic"/>
                <w:sz w:val="24"/>
                <w:szCs w:val="24"/>
              </w:rPr>
            </w:pPr>
            <w:r>
              <w:rPr>
                <w:rFonts w:ascii="Century Gothic" w:hAnsi="Century Gothic"/>
                <w:sz w:val="24"/>
                <w:szCs w:val="24"/>
              </w:rPr>
              <w:t>60</w:t>
            </w:r>
          </w:p>
        </w:tc>
        <w:tc>
          <w:tcPr>
            <w:tcW w:w="2592" w:type="dxa"/>
          </w:tcPr>
          <w:p w14:paraId="745F91F0" w14:textId="77777777" w:rsidR="00310AB5" w:rsidRPr="006E6B99" w:rsidRDefault="00310AB5" w:rsidP="003D4F23">
            <w:pPr>
              <w:jc w:val="center"/>
              <w:rPr>
                <w:rFonts w:ascii="Century Gothic" w:hAnsi="Century Gothic"/>
                <w:sz w:val="20"/>
                <w:szCs w:val="20"/>
              </w:rPr>
            </w:pPr>
            <w:r w:rsidRPr="006E6B99">
              <w:rPr>
                <w:rFonts w:ascii="Century Gothic" w:hAnsi="Century Gothic"/>
                <w:sz w:val="20"/>
                <w:szCs w:val="20"/>
              </w:rPr>
              <w:t>Jill</w:t>
            </w:r>
            <w:r>
              <w:rPr>
                <w:rFonts w:ascii="Century Gothic" w:hAnsi="Century Gothic"/>
                <w:sz w:val="20"/>
                <w:szCs w:val="20"/>
              </w:rPr>
              <w:t xml:space="preserve"> Anderson</w:t>
            </w:r>
          </w:p>
          <w:p w14:paraId="116E8AD8" w14:textId="77777777" w:rsidR="00310AB5" w:rsidRDefault="00310AB5" w:rsidP="003D4F23">
            <w:pPr>
              <w:rPr>
                <w:rFonts w:ascii="Century Gothic" w:hAnsi="Century Gothic"/>
                <w:sz w:val="24"/>
                <w:szCs w:val="24"/>
              </w:rPr>
            </w:pPr>
            <w:r w:rsidRPr="006E6B99">
              <w:rPr>
                <w:rFonts w:ascii="Century Gothic" w:hAnsi="Century Gothic"/>
                <w:b/>
                <w:bCs/>
                <w:sz w:val="16"/>
                <w:szCs w:val="16"/>
              </w:rPr>
              <w:t>Think Outside: Let Nature Nurture Learning</w:t>
            </w:r>
            <w:r w:rsidRPr="006E6B99">
              <w:rPr>
                <w:rFonts w:ascii="Century Gothic" w:hAnsi="Century Gothic"/>
                <w:sz w:val="16"/>
                <w:szCs w:val="16"/>
              </w:rPr>
              <w:t xml:space="preserve"> - The call to action is louder than ever before. Current and ongoing research and our real-life experiences with challenging behaviors and interactions are evidence that children are struggling. They are struggling with the very real effects of the deficit of unstructured time outdoors, in nature, and with its elements. We will discover and discuss strategies to intentionally create</w:t>
            </w:r>
            <w:r w:rsidRPr="001E3317">
              <w:rPr>
                <w:rFonts w:ascii="Century Gothic" w:hAnsi="Century Gothic"/>
                <w:sz w:val="20"/>
                <w:szCs w:val="20"/>
              </w:rPr>
              <w:t xml:space="preserve"> </w:t>
            </w:r>
            <w:r w:rsidRPr="006E6B99">
              <w:rPr>
                <w:rFonts w:ascii="Century Gothic" w:hAnsi="Century Gothic"/>
                <w:sz w:val="16"/>
                <w:szCs w:val="16"/>
              </w:rPr>
              <w:t>opportunities for children to explore their sense of wonder and discover the variety and complexity of life. This supports early learning the way children’s brains and bodies crave – through active play and exploration!</w:t>
            </w:r>
            <w:r w:rsidRPr="001E3317">
              <w:rPr>
                <w:rFonts w:ascii="Century Gothic" w:hAnsi="Century Gothic"/>
                <w:sz w:val="20"/>
                <w:szCs w:val="20"/>
              </w:rPr>
              <w:t xml:space="preserve"> </w:t>
            </w:r>
          </w:p>
        </w:tc>
        <w:tc>
          <w:tcPr>
            <w:tcW w:w="2592" w:type="dxa"/>
          </w:tcPr>
          <w:p w14:paraId="58D12E40" w14:textId="77777777" w:rsidR="00310AB5" w:rsidRPr="006E6B99" w:rsidRDefault="00310AB5" w:rsidP="003D4F23">
            <w:pPr>
              <w:jc w:val="center"/>
              <w:rPr>
                <w:rFonts w:ascii="Century Gothic" w:hAnsi="Century Gothic"/>
                <w:sz w:val="20"/>
                <w:szCs w:val="20"/>
              </w:rPr>
            </w:pPr>
            <w:r w:rsidRPr="006E6B99">
              <w:rPr>
                <w:rFonts w:ascii="Century Gothic" w:hAnsi="Century Gothic"/>
                <w:sz w:val="20"/>
                <w:szCs w:val="20"/>
              </w:rPr>
              <w:t>Jacqueline</w:t>
            </w:r>
            <w:r>
              <w:rPr>
                <w:rFonts w:ascii="Century Gothic" w:hAnsi="Century Gothic"/>
                <w:sz w:val="20"/>
                <w:szCs w:val="20"/>
              </w:rPr>
              <w:t xml:space="preserve"> Crocker</w:t>
            </w:r>
          </w:p>
          <w:p w14:paraId="6BE8266A" w14:textId="77777777" w:rsidR="00310AB5" w:rsidRPr="006E6B99" w:rsidRDefault="00310AB5" w:rsidP="003D4F23">
            <w:pPr>
              <w:rPr>
                <w:rFonts w:ascii="Century Gothic" w:hAnsi="Century Gothic"/>
                <w:sz w:val="16"/>
                <w:szCs w:val="16"/>
              </w:rPr>
            </w:pPr>
            <w:r w:rsidRPr="006E6B99">
              <w:rPr>
                <w:rFonts w:ascii="Century Gothic" w:hAnsi="Century Gothic"/>
                <w:b/>
                <w:bCs/>
                <w:sz w:val="16"/>
                <w:szCs w:val="16"/>
              </w:rPr>
              <w:t>Art for All Children</w:t>
            </w:r>
            <w:r w:rsidRPr="006E6B99">
              <w:rPr>
                <w:rFonts w:ascii="Century Gothic" w:hAnsi="Century Gothic"/>
                <w:sz w:val="16"/>
                <w:szCs w:val="16"/>
              </w:rPr>
              <w:t xml:space="preserve"> - This course will help teachers build a foundation for the successful inclusion of all children in art experiences through participation in an art experience and reflection about the creative process.</w:t>
            </w:r>
          </w:p>
          <w:p w14:paraId="44169031" w14:textId="77777777" w:rsidR="00310AB5" w:rsidRDefault="00310AB5" w:rsidP="003D4F23">
            <w:pPr>
              <w:jc w:val="center"/>
              <w:rPr>
                <w:rFonts w:ascii="Century Gothic" w:hAnsi="Century Gothic"/>
                <w:sz w:val="24"/>
                <w:szCs w:val="24"/>
              </w:rPr>
            </w:pPr>
          </w:p>
        </w:tc>
        <w:tc>
          <w:tcPr>
            <w:tcW w:w="2592" w:type="dxa"/>
            <w:vAlign w:val="center"/>
          </w:tcPr>
          <w:p w14:paraId="30A67FFE" w14:textId="77777777" w:rsidR="00310AB5" w:rsidRDefault="00310AB5" w:rsidP="003D4F23">
            <w:pPr>
              <w:rPr>
                <w:rFonts w:ascii="Century Gothic" w:hAnsi="Century Gothic"/>
                <w:sz w:val="24"/>
                <w:szCs w:val="24"/>
              </w:rPr>
            </w:pPr>
          </w:p>
        </w:tc>
      </w:tr>
    </w:tbl>
    <w:p w14:paraId="6995510B" w14:textId="77777777" w:rsidR="00310AB5" w:rsidRPr="005931B2" w:rsidRDefault="00310AB5" w:rsidP="00310AB5">
      <w:pPr>
        <w:rPr>
          <w:rFonts w:ascii="Century Gothic" w:hAnsi="Century Gothic"/>
          <w:sz w:val="24"/>
          <w:szCs w:val="24"/>
        </w:rPr>
      </w:pPr>
    </w:p>
    <w:p w14:paraId="2052FF6B" w14:textId="77777777" w:rsidR="00310AB5" w:rsidRDefault="00310AB5" w:rsidP="00310AB5">
      <w:pPr>
        <w:rPr>
          <w:rFonts w:ascii="Century Gothic" w:hAnsi="Century Gothic"/>
          <w:sz w:val="24"/>
          <w:szCs w:val="24"/>
        </w:rPr>
      </w:pPr>
      <w:r w:rsidRPr="005931B2">
        <w:rPr>
          <w:rFonts w:ascii="Century Gothic" w:hAnsi="Century Gothic"/>
          <w:sz w:val="24"/>
          <w:szCs w:val="24"/>
        </w:rPr>
        <w:t xml:space="preserve"> </w:t>
      </w:r>
    </w:p>
    <w:p w14:paraId="2B1D7F58" w14:textId="77777777" w:rsidR="00310AB5" w:rsidRDefault="00310AB5" w:rsidP="00310AB5">
      <w:pPr>
        <w:rPr>
          <w:rFonts w:ascii="Century Gothic" w:hAnsi="Century Gothic"/>
          <w:sz w:val="24"/>
          <w:szCs w:val="24"/>
        </w:rPr>
      </w:pPr>
    </w:p>
    <w:p w14:paraId="25AB13C9" w14:textId="77777777" w:rsidR="00310AB5" w:rsidRDefault="00310AB5" w:rsidP="00310AB5">
      <w:pPr>
        <w:rPr>
          <w:rFonts w:ascii="Century Gothic" w:hAnsi="Century Gothic"/>
          <w:sz w:val="24"/>
          <w:szCs w:val="24"/>
        </w:rPr>
      </w:pPr>
    </w:p>
    <w:p w14:paraId="2F22BE11" w14:textId="77777777" w:rsidR="00310AB5" w:rsidRDefault="00310AB5" w:rsidP="00310AB5">
      <w:pPr>
        <w:rPr>
          <w:rFonts w:ascii="Century Gothic" w:hAnsi="Century Gothic"/>
          <w:sz w:val="24"/>
          <w:szCs w:val="24"/>
        </w:rPr>
      </w:pPr>
    </w:p>
    <w:p w14:paraId="62E266EB" w14:textId="77777777" w:rsidR="00310AB5" w:rsidRDefault="00310AB5" w:rsidP="00310AB5">
      <w:pPr>
        <w:rPr>
          <w:rFonts w:ascii="Century Gothic" w:hAnsi="Century Gothic"/>
          <w:sz w:val="24"/>
          <w:szCs w:val="24"/>
        </w:rPr>
      </w:pPr>
    </w:p>
    <w:p w14:paraId="22932FEC" w14:textId="77777777" w:rsidR="00310AB5" w:rsidRDefault="00310AB5" w:rsidP="00310AB5">
      <w:pPr>
        <w:rPr>
          <w:rFonts w:ascii="Century Gothic" w:hAnsi="Century Gothic"/>
          <w:sz w:val="24"/>
          <w:szCs w:val="24"/>
        </w:rPr>
      </w:pPr>
    </w:p>
    <w:p w14:paraId="03A22F74" w14:textId="77777777" w:rsidR="00310AB5" w:rsidRDefault="00310AB5" w:rsidP="00310AB5">
      <w:pPr>
        <w:rPr>
          <w:rFonts w:ascii="Century Gothic" w:hAnsi="Century Gothic"/>
          <w:sz w:val="24"/>
          <w:szCs w:val="24"/>
        </w:rPr>
      </w:pPr>
    </w:p>
    <w:p w14:paraId="000329E5" w14:textId="77777777" w:rsidR="00310AB5" w:rsidRDefault="00310AB5" w:rsidP="00310AB5">
      <w:pPr>
        <w:rPr>
          <w:rFonts w:ascii="Century Gothic" w:hAnsi="Century Gothic"/>
          <w:sz w:val="24"/>
          <w:szCs w:val="24"/>
        </w:rPr>
      </w:pPr>
    </w:p>
    <w:p w14:paraId="146AE4E0" w14:textId="77777777" w:rsidR="00310AB5" w:rsidRDefault="00310AB5" w:rsidP="00310AB5">
      <w:pPr>
        <w:rPr>
          <w:rFonts w:ascii="Century Gothic" w:hAnsi="Century Gothic"/>
          <w:sz w:val="24"/>
          <w:szCs w:val="24"/>
        </w:rPr>
      </w:pPr>
    </w:p>
    <w:p w14:paraId="63DB1F12" w14:textId="77777777" w:rsidR="00310AB5" w:rsidRDefault="00310AB5" w:rsidP="00310AB5">
      <w:pPr>
        <w:rPr>
          <w:rFonts w:ascii="Century Gothic" w:hAnsi="Century Gothic"/>
          <w:sz w:val="24"/>
          <w:szCs w:val="24"/>
        </w:rPr>
      </w:pPr>
    </w:p>
    <w:p w14:paraId="6843D7F5" w14:textId="77777777" w:rsidR="00310AB5" w:rsidRDefault="00310AB5" w:rsidP="00310AB5">
      <w:pPr>
        <w:rPr>
          <w:rFonts w:ascii="Century Gothic" w:hAnsi="Century Gothic"/>
          <w:sz w:val="24"/>
          <w:szCs w:val="24"/>
        </w:rPr>
      </w:pPr>
    </w:p>
    <w:p w14:paraId="0DC0AF11" w14:textId="77777777" w:rsidR="00310AB5" w:rsidRDefault="00310AB5" w:rsidP="00310AB5">
      <w:pPr>
        <w:rPr>
          <w:rFonts w:ascii="Century Gothic" w:hAnsi="Century Gothic"/>
          <w:sz w:val="24"/>
          <w:szCs w:val="24"/>
        </w:rPr>
      </w:pPr>
    </w:p>
    <w:p w14:paraId="3408E995" w14:textId="77777777" w:rsidR="00310AB5" w:rsidRDefault="00310AB5" w:rsidP="00310AB5">
      <w:pPr>
        <w:rPr>
          <w:rFonts w:ascii="Century Gothic" w:hAnsi="Century Gothic"/>
          <w:sz w:val="24"/>
          <w:szCs w:val="24"/>
        </w:rPr>
      </w:pPr>
    </w:p>
    <w:p w14:paraId="54F5BAC4" w14:textId="77777777" w:rsidR="00310AB5" w:rsidRDefault="00310AB5" w:rsidP="00310AB5">
      <w:pPr>
        <w:rPr>
          <w:rFonts w:ascii="Century Gothic" w:hAnsi="Century Gothic"/>
          <w:sz w:val="24"/>
          <w:szCs w:val="24"/>
        </w:rPr>
      </w:pPr>
    </w:p>
    <w:p w14:paraId="720ACF89" w14:textId="77777777" w:rsidR="00310AB5" w:rsidRDefault="00310AB5" w:rsidP="00310AB5">
      <w:pPr>
        <w:rPr>
          <w:rFonts w:ascii="Century Gothic" w:hAnsi="Century Gothic"/>
          <w:sz w:val="24"/>
          <w:szCs w:val="24"/>
        </w:rPr>
      </w:pPr>
    </w:p>
    <w:tbl>
      <w:tblPr>
        <w:tblStyle w:val="TableGrid"/>
        <w:tblW w:w="0" w:type="auto"/>
        <w:tblLayout w:type="fixed"/>
        <w:tblLook w:val="04A0" w:firstRow="1" w:lastRow="0" w:firstColumn="1" w:lastColumn="0" w:noHBand="0" w:noVBand="1"/>
      </w:tblPr>
      <w:tblGrid>
        <w:gridCol w:w="2158"/>
        <w:gridCol w:w="720"/>
        <w:gridCol w:w="2592"/>
        <w:gridCol w:w="2592"/>
        <w:gridCol w:w="2592"/>
      </w:tblGrid>
      <w:tr w:rsidR="00310AB5" w:rsidRPr="005931B2" w14:paraId="3AAF8453" w14:textId="77777777" w:rsidTr="003D4F23">
        <w:tc>
          <w:tcPr>
            <w:tcW w:w="2158" w:type="dxa"/>
          </w:tcPr>
          <w:p w14:paraId="23C8AEE9" w14:textId="77777777" w:rsidR="00310AB5" w:rsidRPr="005931B2" w:rsidRDefault="00310AB5" w:rsidP="003D4F23">
            <w:pPr>
              <w:jc w:val="center"/>
              <w:rPr>
                <w:rFonts w:ascii="Century Gothic" w:hAnsi="Century Gothic"/>
                <w:b/>
                <w:bCs/>
                <w:sz w:val="24"/>
                <w:szCs w:val="24"/>
              </w:rPr>
            </w:pPr>
            <w:r>
              <w:rPr>
                <w:rFonts w:ascii="Century Gothic" w:hAnsi="Century Gothic"/>
                <w:b/>
                <w:bCs/>
                <w:sz w:val="24"/>
                <w:szCs w:val="24"/>
              </w:rPr>
              <w:lastRenderedPageBreak/>
              <w:t>Saturday</w:t>
            </w:r>
          </w:p>
        </w:tc>
        <w:tc>
          <w:tcPr>
            <w:tcW w:w="720" w:type="dxa"/>
          </w:tcPr>
          <w:p w14:paraId="64EAE919" w14:textId="77777777" w:rsidR="00310AB5" w:rsidRDefault="00310AB5" w:rsidP="003D4F23">
            <w:pPr>
              <w:jc w:val="center"/>
              <w:rPr>
                <w:rFonts w:ascii="Century Gothic" w:hAnsi="Century Gothic"/>
                <w:b/>
                <w:bCs/>
                <w:sz w:val="24"/>
                <w:szCs w:val="24"/>
              </w:rPr>
            </w:pPr>
          </w:p>
        </w:tc>
        <w:tc>
          <w:tcPr>
            <w:tcW w:w="2592" w:type="dxa"/>
          </w:tcPr>
          <w:p w14:paraId="22FD56B9" w14:textId="77777777" w:rsidR="00310AB5" w:rsidRPr="005931B2" w:rsidRDefault="00310AB5" w:rsidP="003D4F23">
            <w:pPr>
              <w:jc w:val="center"/>
              <w:rPr>
                <w:rFonts w:ascii="Century Gothic" w:hAnsi="Century Gothic"/>
                <w:b/>
                <w:bCs/>
                <w:sz w:val="24"/>
                <w:szCs w:val="24"/>
              </w:rPr>
            </w:pPr>
            <w:r>
              <w:rPr>
                <w:rFonts w:ascii="Century Gothic" w:hAnsi="Century Gothic"/>
                <w:b/>
                <w:bCs/>
                <w:sz w:val="24"/>
                <w:szCs w:val="24"/>
              </w:rPr>
              <w:t>10:14 – 11:45</w:t>
            </w:r>
          </w:p>
        </w:tc>
        <w:tc>
          <w:tcPr>
            <w:tcW w:w="2592" w:type="dxa"/>
          </w:tcPr>
          <w:p w14:paraId="6BF4CD99" w14:textId="77777777" w:rsidR="00310AB5" w:rsidRPr="005931B2" w:rsidRDefault="00310AB5" w:rsidP="003D4F23">
            <w:pPr>
              <w:jc w:val="center"/>
              <w:rPr>
                <w:rFonts w:ascii="Century Gothic" w:hAnsi="Century Gothic"/>
                <w:b/>
                <w:bCs/>
                <w:sz w:val="24"/>
                <w:szCs w:val="24"/>
              </w:rPr>
            </w:pPr>
            <w:r>
              <w:rPr>
                <w:rFonts w:ascii="Century Gothic" w:hAnsi="Century Gothic"/>
                <w:b/>
                <w:bCs/>
                <w:sz w:val="24"/>
                <w:szCs w:val="24"/>
              </w:rPr>
              <w:t>1:15 – 2:45</w:t>
            </w:r>
          </w:p>
        </w:tc>
        <w:tc>
          <w:tcPr>
            <w:tcW w:w="2592" w:type="dxa"/>
          </w:tcPr>
          <w:p w14:paraId="298050FB" w14:textId="77777777" w:rsidR="00310AB5" w:rsidRPr="005931B2" w:rsidRDefault="00310AB5" w:rsidP="003D4F23">
            <w:pPr>
              <w:jc w:val="center"/>
              <w:rPr>
                <w:rFonts w:ascii="Century Gothic" w:hAnsi="Century Gothic"/>
                <w:b/>
                <w:bCs/>
                <w:sz w:val="24"/>
                <w:szCs w:val="24"/>
              </w:rPr>
            </w:pPr>
            <w:r>
              <w:rPr>
                <w:rFonts w:ascii="Century Gothic" w:hAnsi="Century Gothic"/>
                <w:b/>
                <w:bCs/>
                <w:sz w:val="24"/>
                <w:szCs w:val="24"/>
              </w:rPr>
              <w:t>3:00 – 4:30</w:t>
            </w:r>
          </w:p>
        </w:tc>
      </w:tr>
      <w:tr w:rsidR="00310AB5" w14:paraId="58D1BF77" w14:textId="77777777" w:rsidTr="003D4F23">
        <w:trPr>
          <w:trHeight w:val="432"/>
        </w:trPr>
        <w:tc>
          <w:tcPr>
            <w:tcW w:w="2158" w:type="dxa"/>
            <w:vAlign w:val="center"/>
          </w:tcPr>
          <w:p w14:paraId="7A744781" w14:textId="77777777" w:rsidR="00310AB5" w:rsidRDefault="00310AB5" w:rsidP="003D4F23">
            <w:pPr>
              <w:rPr>
                <w:rFonts w:ascii="Century Gothic" w:hAnsi="Century Gothic"/>
                <w:sz w:val="24"/>
                <w:szCs w:val="24"/>
              </w:rPr>
            </w:pPr>
            <w:r>
              <w:rPr>
                <w:rFonts w:ascii="Century Gothic" w:hAnsi="Century Gothic"/>
                <w:sz w:val="24"/>
                <w:szCs w:val="24"/>
              </w:rPr>
              <w:t>BB - A/B</w:t>
            </w:r>
          </w:p>
        </w:tc>
        <w:tc>
          <w:tcPr>
            <w:tcW w:w="720" w:type="dxa"/>
          </w:tcPr>
          <w:p w14:paraId="59E81A85" w14:textId="77777777" w:rsidR="00310AB5" w:rsidRDefault="00310AB5" w:rsidP="003D4F23">
            <w:pPr>
              <w:jc w:val="center"/>
              <w:rPr>
                <w:rFonts w:ascii="Century Gothic" w:hAnsi="Century Gothic"/>
                <w:sz w:val="24"/>
                <w:szCs w:val="24"/>
              </w:rPr>
            </w:pPr>
            <w:r>
              <w:rPr>
                <w:rFonts w:ascii="Century Gothic" w:hAnsi="Century Gothic"/>
                <w:sz w:val="24"/>
                <w:szCs w:val="24"/>
              </w:rPr>
              <w:t>60</w:t>
            </w:r>
          </w:p>
        </w:tc>
        <w:tc>
          <w:tcPr>
            <w:tcW w:w="2592" w:type="dxa"/>
          </w:tcPr>
          <w:p w14:paraId="384E477E" w14:textId="77777777" w:rsidR="00310AB5" w:rsidRPr="006E6B99" w:rsidRDefault="00310AB5" w:rsidP="003D4F23">
            <w:pPr>
              <w:tabs>
                <w:tab w:val="center" w:pos="972"/>
              </w:tabs>
              <w:jc w:val="center"/>
              <w:rPr>
                <w:rFonts w:ascii="Century Gothic" w:hAnsi="Century Gothic"/>
                <w:sz w:val="20"/>
                <w:szCs w:val="20"/>
              </w:rPr>
            </w:pPr>
            <w:r w:rsidRPr="006E6B99">
              <w:rPr>
                <w:rFonts w:ascii="Century Gothic" w:hAnsi="Century Gothic"/>
                <w:sz w:val="20"/>
                <w:szCs w:val="20"/>
              </w:rPr>
              <w:t>Beth Reeder</w:t>
            </w:r>
          </w:p>
          <w:p w14:paraId="2E198B2F" w14:textId="77777777" w:rsidR="00310AB5" w:rsidRPr="006E6B99" w:rsidRDefault="00310AB5" w:rsidP="003D4F23">
            <w:pPr>
              <w:rPr>
                <w:rFonts w:ascii="Century Gothic" w:hAnsi="Century Gothic" w:cstheme="minorHAnsi"/>
                <w:b/>
                <w:bCs/>
                <w:sz w:val="16"/>
                <w:szCs w:val="16"/>
              </w:rPr>
            </w:pPr>
            <w:r w:rsidRPr="006E6B99">
              <w:rPr>
                <w:rFonts w:ascii="Century Gothic" w:hAnsi="Century Gothic" w:cstheme="minorHAnsi"/>
                <w:b/>
                <w:bCs/>
                <w:sz w:val="16"/>
                <w:szCs w:val="16"/>
              </w:rPr>
              <w:t xml:space="preserve">Life According to Mr. Rogers…. </w:t>
            </w:r>
          </w:p>
          <w:p w14:paraId="24FD5ED2" w14:textId="77777777" w:rsidR="00310AB5" w:rsidRDefault="00310AB5" w:rsidP="003D4F23">
            <w:pPr>
              <w:tabs>
                <w:tab w:val="center" w:pos="972"/>
              </w:tabs>
              <w:jc w:val="center"/>
              <w:rPr>
                <w:rFonts w:ascii="Century Gothic" w:hAnsi="Century Gothic"/>
                <w:sz w:val="24"/>
                <w:szCs w:val="24"/>
              </w:rPr>
            </w:pPr>
          </w:p>
        </w:tc>
        <w:tc>
          <w:tcPr>
            <w:tcW w:w="2592" w:type="dxa"/>
          </w:tcPr>
          <w:p w14:paraId="272B627A" w14:textId="77777777" w:rsidR="00310AB5" w:rsidRPr="006E6B99" w:rsidRDefault="00310AB5" w:rsidP="003D4F23">
            <w:pPr>
              <w:jc w:val="center"/>
              <w:rPr>
                <w:rFonts w:ascii="Century Gothic" w:hAnsi="Century Gothic"/>
                <w:sz w:val="20"/>
                <w:szCs w:val="20"/>
              </w:rPr>
            </w:pPr>
            <w:r w:rsidRPr="006E6B99">
              <w:rPr>
                <w:rFonts w:ascii="Century Gothic" w:hAnsi="Century Gothic"/>
                <w:sz w:val="20"/>
                <w:szCs w:val="20"/>
              </w:rPr>
              <w:t>Beth Reeder</w:t>
            </w:r>
          </w:p>
          <w:p w14:paraId="466DA109" w14:textId="77777777" w:rsidR="00310AB5" w:rsidRPr="006E6B99" w:rsidRDefault="00310AB5" w:rsidP="003D4F23">
            <w:pPr>
              <w:rPr>
                <w:rFonts w:ascii="Century Gothic" w:hAnsi="Century Gothic"/>
                <w:b/>
                <w:bCs/>
                <w:sz w:val="16"/>
                <w:szCs w:val="16"/>
              </w:rPr>
            </w:pPr>
            <w:r w:rsidRPr="006E6B99">
              <w:rPr>
                <w:rFonts w:ascii="Century Gothic" w:hAnsi="Century Gothic"/>
                <w:b/>
                <w:bCs/>
                <w:sz w:val="16"/>
                <w:szCs w:val="16"/>
              </w:rPr>
              <w:t xml:space="preserve">You Didn’t Tell Me That…. Effectively Communications with Parents </w:t>
            </w:r>
          </w:p>
          <w:p w14:paraId="76C7B161" w14:textId="77777777" w:rsidR="00310AB5" w:rsidRDefault="00310AB5" w:rsidP="003D4F23">
            <w:pPr>
              <w:jc w:val="center"/>
              <w:rPr>
                <w:rFonts w:ascii="Century Gothic" w:hAnsi="Century Gothic"/>
                <w:sz w:val="24"/>
                <w:szCs w:val="24"/>
              </w:rPr>
            </w:pPr>
          </w:p>
        </w:tc>
        <w:tc>
          <w:tcPr>
            <w:tcW w:w="2592" w:type="dxa"/>
          </w:tcPr>
          <w:p w14:paraId="65ECD1A5" w14:textId="77777777" w:rsidR="00310AB5" w:rsidRDefault="00310AB5" w:rsidP="003D4F23">
            <w:pPr>
              <w:jc w:val="center"/>
              <w:rPr>
                <w:rFonts w:ascii="Century Gothic" w:hAnsi="Century Gothic"/>
                <w:sz w:val="20"/>
                <w:szCs w:val="20"/>
              </w:rPr>
            </w:pPr>
            <w:r w:rsidRPr="006E6B99">
              <w:rPr>
                <w:rFonts w:ascii="Century Gothic" w:hAnsi="Century Gothic"/>
                <w:sz w:val="20"/>
                <w:szCs w:val="20"/>
              </w:rPr>
              <w:t>Sarah Holmes</w:t>
            </w:r>
          </w:p>
          <w:p w14:paraId="49338713" w14:textId="77777777" w:rsidR="00310AB5" w:rsidRPr="0036466C" w:rsidRDefault="00310AB5" w:rsidP="003D4F23">
            <w:pPr>
              <w:jc w:val="center"/>
              <w:rPr>
                <w:rFonts w:ascii="Century Gothic" w:hAnsi="Century Gothic"/>
                <w:b/>
                <w:bCs/>
                <w:sz w:val="16"/>
                <w:szCs w:val="16"/>
              </w:rPr>
            </w:pPr>
            <w:r w:rsidRPr="0036466C">
              <w:rPr>
                <w:rFonts w:ascii="Century Gothic" w:hAnsi="Century Gothic"/>
                <w:b/>
                <w:bCs/>
                <w:sz w:val="16"/>
                <w:szCs w:val="16"/>
              </w:rPr>
              <w:t>Importance of Play</w:t>
            </w:r>
          </w:p>
        </w:tc>
      </w:tr>
      <w:tr w:rsidR="00310AB5" w14:paraId="2AC20254" w14:textId="77777777" w:rsidTr="003D4F23">
        <w:trPr>
          <w:trHeight w:val="432"/>
        </w:trPr>
        <w:tc>
          <w:tcPr>
            <w:tcW w:w="2158" w:type="dxa"/>
            <w:vAlign w:val="center"/>
          </w:tcPr>
          <w:p w14:paraId="01AB10BA" w14:textId="77777777" w:rsidR="00310AB5" w:rsidRDefault="00310AB5" w:rsidP="003D4F23">
            <w:pPr>
              <w:rPr>
                <w:rFonts w:ascii="Century Gothic" w:hAnsi="Century Gothic"/>
                <w:sz w:val="24"/>
                <w:szCs w:val="24"/>
              </w:rPr>
            </w:pPr>
            <w:r>
              <w:rPr>
                <w:rFonts w:ascii="Century Gothic" w:hAnsi="Century Gothic"/>
                <w:sz w:val="24"/>
                <w:szCs w:val="24"/>
              </w:rPr>
              <w:t>BB - C</w:t>
            </w:r>
          </w:p>
        </w:tc>
        <w:tc>
          <w:tcPr>
            <w:tcW w:w="720" w:type="dxa"/>
          </w:tcPr>
          <w:p w14:paraId="1AAD508B" w14:textId="77777777" w:rsidR="00310AB5" w:rsidRDefault="00310AB5" w:rsidP="003D4F23">
            <w:pPr>
              <w:jc w:val="center"/>
              <w:rPr>
                <w:rFonts w:ascii="Century Gothic" w:hAnsi="Century Gothic"/>
                <w:sz w:val="24"/>
                <w:szCs w:val="24"/>
              </w:rPr>
            </w:pPr>
            <w:r>
              <w:rPr>
                <w:rFonts w:ascii="Century Gothic" w:hAnsi="Century Gothic"/>
                <w:sz w:val="24"/>
                <w:szCs w:val="24"/>
              </w:rPr>
              <w:t>40</w:t>
            </w:r>
          </w:p>
        </w:tc>
        <w:tc>
          <w:tcPr>
            <w:tcW w:w="2592" w:type="dxa"/>
          </w:tcPr>
          <w:p w14:paraId="05F794FB" w14:textId="77777777" w:rsidR="00310AB5" w:rsidRPr="006E6B99" w:rsidRDefault="00310AB5" w:rsidP="003D4F23">
            <w:pPr>
              <w:jc w:val="center"/>
              <w:rPr>
                <w:rFonts w:ascii="Century Gothic" w:hAnsi="Century Gothic"/>
                <w:sz w:val="20"/>
                <w:szCs w:val="20"/>
              </w:rPr>
            </w:pPr>
            <w:r w:rsidRPr="006E6B99">
              <w:rPr>
                <w:rFonts w:ascii="Century Gothic" w:hAnsi="Century Gothic"/>
                <w:sz w:val="20"/>
                <w:szCs w:val="20"/>
              </w:rPr>
              <w:t>Robyn Kelton</w:t>
            </w:r>
          </w:p>
          <w:p w14:paraId="061B194F" w14:textId="77777777" w:rsidR="00310AB5" w:rsidRPr="006E6B99" w:rsidRDefault="00310AB5" w:rsidP="003D4F23">
            <w:pPr>
              <w:rPr>
                <w:rFonts w:ascii="Century Gothic" w:hAnsi="Century Gothic" w:cs="Arial"/>
                <w:color w:val="222222"/>
                <w:sz w:val="16"/>
                <w:szCs w:val="16"/>
                <w:shd w:val="clear" w:color="auto" w:fill="FFFFFF"/>
              </w:rPr>
            </w:pPr>
            <w:r w:rsidRPr="006E6B99">
              <w:rPr>
                <w:rFonts w:ascii="Century Gothic" w:hAnsi="Century Gothic" w:cs="Arial"/>
                <w:b/>
                <w:bCs/>
                <w:color w:val="222222"/>
                <w:sz w:val="16"/>
                <w:szCs w:val="16"/>
                <w:shd w:val="clear" w:color="auto" w:fill="FFFFFF"/>
              </w:rPr>
              <w:t>What Belongs in a Contract? Creating and Improving Your FCC Contract</w:t>
            </w:r>
            <w:r w:rsidRPr="006E6B99">
              <w:rPr>
                <w:rFonts w:ascii="Century Gothic" w:hAnsi="Century Gothic" w:cs="Arial"/>
                <w:color w:val="222222"/>
                <w:sz w:val="16"/>
                <w:szCs w:val="16"/>
              </w:rPr>
              <w:t xml:space="preserve"> - </w:t>
            </w:r>
            <w:r w:rsidRPr="006E6B99">
              <w:rPr>
                <w:rFonts w:ascii="Century Gothic" w:hAnsi="Century Gothic" w:cs="Arial"/>
                <w:color w:val="222222"/>
                <w:sz w:val="16"/>
                <w:szCs w:val="16"/>
                <w:shd w:val="clear" w:color="auto" w:fill="FFFFFF"/>
              </w:rPr>
              <w:t xml:space="preserve">Contracts are a critical business document that family </w:t>
            </w:r>
            <w:proofErr w:type="gramStart"/>
            <w:r w:rsidRPr="006E6B99">
              <w:rPr>
                <w:rFonts w:ascii="Century Gothic" w:hAnsi="Century Gothic" w:cs="Arial"/>
                <w:color w:val="222222"/>
                <w:sz w:val="16"/>
                <w:szCs w:val="16"/>
                <w:shd w:val="clear" w:color="auto" w:fill="FFFFFF"/>
              </w:rPr>
              <w:t>child care</w:t>
            </w:r>
            <w:proofErr w:type="gramEnd"/>
            <w:r w:rsidRPr="006E6B99">
              <w:rPr>
                <w:rFonts w:ascii="Century Gothic" w:hAnsi="Century Gothic" w:cs="Arial"/>
                <w:color w:val="222222"/>
                <w:sz w:val="16"/>
                <w:szCs w:val="16"/>
                <w:shd w:val="clear" w:color="auto" w:fill="FFFFFF"/>
              </w:rPr>
              <w:t xml:space="preserve"> providers can use to communicate with families and protect themselves and their business, but oftentimes determining what belongs in a contract can be unclear or confusing. Using the Business Administration Scale for Family Child Care (BAS) as a guide, this workshop will provide participants with the knowledge needed to create or improve their own family </w:t>
            </w:r>
            <w:proofErr w:type="gramStart"/>
            <w:r w:rsidRPr="006E6B99">
              <w:rPr>
                <w:rFonts w:ascii="Century Gothic" w:hAnsi="Century Gothic" w:cs="Arial"/>
                <w:color w:val="222222"/>
                <w:sz w:val="16"/>
                <w:szCs w:val="16"/>
                <w:shd w:val="clear" w:color="auto" w:fill="FFFFFF"/>
              </w:rPr>
              <w:t>child care</w:t>
            </w:r>
            <w:proofErr w:type="gramEnd"/>
            <w:r w:rsidRPr="006E6B99">
              <w:rPr>
                <w:rFonts w:ascii="Century Gothic" w:hAnsi="Century Gothic" w:cs="Arial"/>
                <w:color w:val="222222"/>
                <w:sz w:val="16"/>
                <w:szCs w:val="16"/>
                <w:shd w:val="clear" w:color="auto" w:fill="FFFFFF"/>
              </w:rPr>
              <w:t xml:space="preserve"> contracts.</w:t>
            </w:r>
          </w:p>
          <w:p w14:paraId="58A6A10C" w14:textId="77777777" w:rsidR="00310AB5" w:rsidRPr="006E6B99" w:rsidRDefault="00310AB5" w:rsidP="003D4F23">
            <w:pPr>
              <w:jc w:val="center"/>
              <w:rPr>
                <w:rFonts w:ascii="Century Gothic" w:hAnsi="Century Gothic"/>
                <w:sz w:val="16"/>
                <w:szCs w:val="16"/>
              </w:rPr>
            </w:pPr>
          </w:p>
        </w:tc>
        <w:tc>
          <w:tcPr>
            <w:tcW w:w="2592" w:type="dxa"/>
          </w:tcPr>
          <w:p w14:paraId="0B7D2FCA" w14:textId="77777777" w:rsidR="00310AB5" w:rsidRPr="006E6B99" w:rsidRDefault="00310AB5" w:rsidP="003D4F23">
            <w:pPr>
              <w:jc w:val="center"/>
              <w:rPr>
                <w:rFonts w:ascii="Century Gothic" w:hAnsi="Century Gothic"/>
                <w:sz w:val="20"/>
                <w:szCs w:val="20"/>
              </w:rPr>
            </w:pPr>
            <w:r w:rsidRPr="006E6B99">
              <w:rPr>
                <w:rFonts w:ascii="Century Gothic" w:hAnsi="Century Gothic"/>
                <w:sz w:val="20"/>
                <w:szCs w:val="20"/>
              </w:rPr>
              <w:t>Robyn Kelton</w:t>
            </w:r>
          </w:p>
          <w:p w14:paraId="5C9F1779" w14:textId="77777777" w:rsidR="00310AB5" w:rsidRPr="006E6B99" w:rsidRDefault="00310AB5" w:rsidP="003D4F23">
            <w:pPr>
              <w:rPr>
                <w:rFonts w:ascii="Century Gothic" w:hAnsi="Century Gothic"/>
                <w:sz w:val="16"/>
                <w:szCs w:val="16"/>
              </w:rPr>
            </w:pPr>
            <w:r w:rsidRPr="006E6B99">
              <w:rPr>
                <w:rFonts w:ascii="Century Gothic" w:hAnsi="Century Gothic" w:cs="Arial"/>
                <w:b/>
                <w:bCs/>
                <w:color w:val="222222"/>
                <w:sz w:val="16"/>
                <w:szCs w:val="16"/>
                <w:shd w:val="clear" w:color="auto" w:fill="FFFFFF"/>
              </w:rPr>
              <w:t>Put it in Writing: Creating and Improving Family Handbooks</w:t>
            </w:r>
            <w:r w:rsidRPr="006E6B99">
              <w:rPr>
                <w:rFonts w:ascii="Century Gothic" w:hAnsi="Century Gothic" w:cs="Arial"/>
                <w:color w:val="222222"/>
                <w:sz w:val="16"/>
                <w:szCs w:val="16"/>
              </w:rPr>
              <w:t xml:space="preserve"> - </w:t>
            </w:r>
            <w:r w:rsidRPr="006E6B99">
              <w:rPr>
                <w:rFonts w:ascii="Century Gothic" w:hAnsi="Century Gothic" w:cs="Arial"/>
                <w:color w:val="222222"/>
                <w:sz w:val="16"/>
                <w:szCs w:val="16"/>
                <w:shd w:val="clear" w:color="auto" w:fill="FFFFFF"/>
              </w:rPr>
              <w:t xml:space="preserve">Many of the challenges family </w:t>
            </w:r>
            <w:proofErr w:type="gramStart"/>
            <w:r w:rsidRPr="006E6B99">
              <w:rPr>
                <w:rFonts w:ascii="Century Gothic" w:hAnsi="Century Gothic" w:cs="Arial"/>
                <w:color w:val="222222"/>
                <w:sz w:val="16"/>
                <w:szCs w:val="16"/>
                <w:shd w:val="clear" w:color="auto" w:fill="FFFFFF"/>
              </w:rPr>
              <w:t>child care</w:t>
            </w:r>
            <w:proofErr w:type="gramEnd"/>
            <w:r w:rsidRPr="006E6B99">
              <w:rPr>
                <w:rFonts w:ascii="Century Gothic" w:hAnsi="Century Gothic" w:cs="Arial"/>
                <w:color w:val="222222"/>
                <w:sz w:val="16"/>
                <w:szCs w:val="16"/>
                <w:shd w:val="clear" w:color="auto" w:fill="FFFFFF"/>
              </w:rPr>
              <w:t xml:space="preserve"> providers face can be eliminated by having clear family policies in writing. An effective family handbook can set expectations, clarify relationships, reduce frustration, and help bridge communication between providers and families, but writing and organizing effective policies for a handbook can be challenging. Using the Business Administration Scale for Family Child Care (BAS) as a guide, this workshop will help providers create a more efficient and effective family handbook.</w:t>
            </w:r>
          </w:p>
          <w:p w14:paraId="5E54548C" w14:textId="77777777" w:rsidR="00310AB5" w:rsidRDefault="00310AB5" w:rsidP="003D4F23">
            <w:pPr>
              <w:jc w:val="center"/>
              <w:rPr>
                <w:rFonts w:ascii="Century Gothic" w:hAnsi="Century Gothic"/>
                <w:sz w:val="24"/>
                <w:szCs w:val="24"/>
              </w:rPr>
            </w:pPr>
          </w:p>
        </w:tc>
        <w:tc>
          <w:tcPr>
            <w:tcW w:w="2592" w:type="dxa"/>
          </w:tcPr>
          <w:p w14:paraId="643C65A9" w14:textId="77777777" w:rsidR="00310AB5" w:rsidRPr="006E6B99" w:rsidRDefault="00310AB5" w:rsidP="003D4F23">
            <w:pPr>
              <w:jc w:val="center"/>
              <w:rPr>
                <w:rFonts w:ascii="Century Gothic" w:hAnsi="Century Gothic"/>
                <w:sz w:val="20"/>
                <w:szCs w:val="20"/>
              </w:rPr>
            </w:pPr>
            <w:r w:rsidRPr="006E6B99">
              <w:rPr>
                <w:rFonts w:ascii="Century Gothic" w:hAnsi="Century Gothic"/>
                <w:sz w:val="20"/>
                <w:szCs w:val="20"/>
              </w:rPr>
              <w:t>Star Robinson</w:t>
            </w:r>
          </w:p>
          <w:p w14:paraId="7C14E653" w14:textId="77777777" w:rsidR="00310AB5" w:rsidRPr="006E6B99" w:rsidRDefault="00310AB5" w:rsidP="003D4F23">
            <w:pPr>
              <w:shd w:val="clear" w:color="auto" w:fill="FFFFFF"/>
              <w:rPr>
                <w:rFonts w:ascii="Century Gothic" w:eastAsia="Times New Roman" w:hAnsi="Century Gothic" w:cs="Calibri"/>
                <w:color w:val="000000"/>
                <w:sz w:val="16"/>
                <w:szCs w:val="16"/>
              </w:rPr>
            </w:pPr>
            <w:r w:rsidRPr="006E6B99">
              <w:rPr>
                <w:rFonts w:ascii="Century Gothic" w:hAnsi="Century Gothic"/>
                <w:b/>
                <w:bCs/>
                <w:sz w:val="16"/>
                <w:szCs w:val="16"/>
              </w:rPr>
              <w:t xml:space="preserve">Keeping it R.E.A.L. Recyclables. Engaging Environments. Adaptations for all Ages. Loose Parts - </w:t>
            </w:r>
            <w:r w:rsidRPr="006E6B99">
              <w:rPr>
                <w:rFonts w:ascii="Century Gothic" w:eastAsia="Times New Roman" w:hAnsi="Century Gothic" w:cs="Calibri"/>
                <w:color w:val="000000"/>
                <w:sz w:val="16"/>
                <w:szCs w:val="16"/>
                <w:shd w:val="clear" w:color="auto" w:fill="FFFFFF"/>
              </w:rPr>
              <w:t>How can lose parts and recyclables strengthen young children’s STEM skills?</w:t>
            </w:r>
            <w:r w:rsidRPr="006E6B99">
              <w:rPr>
                <w:rFonts w:ascii="Century Gothic" w:eastAsia="Times New Roman" w:hAnsi="Century Gothic" w:cs="Calibri"/>
                <w:color w:val="000000"/>
                <w:sz w:val="16"/>
                <w:szCs w:val="16"/>
              </w:rPr>
              <w:t>  </w:t>
            </w:r>
            <w:r w:rsidRPr="006E6B99">
              <w:rPr>
                <w:rFonts w:ascii="Century Gothic" w:eastAsia="Times New Roman" w:hAnsi="Century Gothic" w:cs="Calibri"/>
                <w:color w:val="000000"/>
                <w:sz w:val="16"/>
                <w:szCs w:val="16"/>
                <w:shd w:val="clear" w:color="auto" w:fill="FFFFFF"/>
              </w:rPr>
              <w:t>This course explores using everyday materials to engage mixed age groups safely. </w:t>
            </w:r>
            <w:r w:rsidRPr="006E6B99">
              <w:rPr>
                <w:rFonts w:ascii="Century Gothic" w:eastAsia="Times New Roman" w:hAnsi="Century Gothic" w:cs="Calibri"/>
                <w:color w:val="000000"/>
                <w:sz w:val="16"/>
                <w:szCs w:val="16"/>
              </w:rPr>
              <w:t> </w:t>
            </w:r>
            <w:r w:rsidRPr="006E6B99">
              <w:rPr>
                <w:rFonts w:ascii="Century Gothic" w:eastAsia="Times New Roman" w:hAnsi="Century Gothic" w:cs="Calibri"/>
                <w:color w:val="000000"/>
                <w:sz w:val="16"/>
                <w:szCs w:val="16"/>
                <w:shd w:val="clear" w:color="auto" w:fill="FFFFFF"/>
              </w:rPr>
              <w:t>Participants will examine the importance of their role in supporting math and science skills; how to manage the environment using recyclables and lose parts; and bring it all together to align with Mathematics and Science KELS.</w:t>
            </w:r>
          </w:p>
          <w:p w14:paraId="48D4E780" w14:textId="77777777" w:rsidR="00310AB5" w:rsidRDefault="00310AB5" w:rsidP="003D4F23">
            <w:pPr>
              <w:jc w:val="center"/>
              <w:rPr>
                <w:rFonts w:ascii="Century Gothic" w:hAnsi="Century Gothic"/>
                <w:sz w:val="24"/>
                <w:szCs w:val="24"/>
              </w:rPr>
            </w:pPr>
          </w:p>
        </w:tc>
      </w:tr>
      <w:tr w:rsidR="00310AB5" w14:paraId="2CCE0FF5" w14:textId="77777777" w:rsidTr="003D4F23">
        <w:trPr>
          <w:trHeight w:val="432"/>
        </w:trPr>
        <w:tc>
          <w:tcPr>
            <w:tcW w:w="2158" w:type="dxa"/>
            <w:vAlign w:val="center"/>
          </w:tcPr>
          <w:p w14:paraId="6FE00869" w14:textId="77777777" w:rsidR="00310AB5" w:rsidRDefault="00310AB5" w:rsidP="003D4F23">
            <w:pPr>
              <w:rPr>
                <w:rFonts w:ascii="Century Gothic" w:hAnsi="Century Gothic"/>
                <w:sz w:val="24"/>
                <w:szCs w:val="24"/>
              </w:rPr>
            </w:pPr>
            <w:r>
              <w:rPr>
                <w:rFonts w:ascii="Century Gothic" w:hAnsi="Century Gothic"/>
                <w:sz w:val="24"/>
                <w:szCs w:val="24"/>
              </w:rPr>
              <w:t>BB - D</w:t>
            </w:r>
          </w:p>
        </w:tc>
        <w:tc>
          <w:tcPr>
            <w:tcW w:w="720" w:type="dxa"/>
          </w:tcPr>
          <w:p w14:paraId="00AF9152" w14:textId="77777777" w:rsidR="00310AB5" w:rsidRDefault="00310AB5" w:rsidP="003D4F23">
            <w:pPr>
              <w:jc w:val="center"/>
              <w:rPr>
                <w:rFonts w:ascii="Century Gothic" w:hAnsi="Century Gothic"/>
                <w:sz w:val="24"/>
                <w:szCs w:val="24"/>
              </w:rPr>
            </w:pPr>
            <w:r>
              <w:rPr>
                <w:rFonts w:ascii="Century Gothic" w:hAnsi="Century Gothic"/>
                <w:sz w:val="24"/>
                <w:szCs w:val="24"/>
              </w:rPr>
              <w:t>40</w:t>
            </w:r>
          </w:p>
        </w:tc>
        <w:tc>
          <w:tcPr>
            <w:tcW w:w="2592" w:type="dxa"/>
          </w:tcPr>
          <w:p w14:paraId="6A669CED" w14:textId="77777777" w:rsidR="00310AB5" w:rsidRPr="0068128B" w:rsidRDefault="00310AB5" w:rsidP="003D4F23">
            <w:pPr>
              <w:jc w:val="center"/>
              <w:rPr>
                <w:rFonts w:ascii="Century Gothic" w:hAnsi="Century Gothic"/>
                <w:sz w:val="20"/>
                <w:szCs w:val="20"/>
              </w:rPr>
            </w:pPr>
            <w:r w:rsidRPr="0068128B">
              <w:rPr>
                <w:rFonts w:ascii="Century Gothic" w:hAnsi="Century Gothic"/>
                <w:sz w:val="20"/>
                <w:szCs w:val="20"/>
              </w:rPr>
              <w:t>Dawn Brown</w:t>
            </w:r>
          </w:p>
          <w:p w14:paraId="7D9F1B65" w14:textId="77777777" w:rsidR="00310AB5" w:rsidRPr="0068128B" w:rsidRDefault="00310AB5" w:rsidP="003D4F23">
            <w:pPr>
              <w:rPr>
                <w:rFonts w:ascii="Century Gothic" w:hAnsi="Century Gothic"/>
                <w:sz w:val="16"/>
                <w:szCs w:val="16"/>
              </w:rPr>
            </w:pPr>
            <w:r w:rsidRPr="0068128B">
              <w:rPr>
                <w:rFonts w:ascii="Century Gothic" w:hAnsi="Century Gothic"/>
                <w:b/>
                <w:bCs/>
                <w:sz w:val="16"/>
                <w:szCs w:val="16"/>
              </w:rPr>
              <w:t>Fun, Fun, Fun until the Teacher Told Me to Stop!</w:t>
            </w:r>
            <w:r w:rsidRPr="0068128B">
              <w:rPr>
                <w:rFonts w:ascii="Century Gothic" w:hAnsi="Century Gothic"/>
                <w:sz w:val="16"/>
                <w:szCs w:val="16"/>
              </w:rPr>
              <w:t xml:space="preserve"> - In this class participants will explore their attitude towards risky play. They will have a chance to learn about six areas or risky play. They will also learn how they can start providing risk taking experiences for the child in their setting.</w:t>
            </w:r>
          </w:p>
          <w:p w14:paraId="5BEADB30" w14:textId="77777777" w:rsidR="00310AB5" w:rsidRDefault="00310AB5" w:rsidP="003D4F23">
            <w:pPr>
              <w:jc w:val="center"/>
              <w:rPr>
                <w:rFonts w:ascii="Century Gothic" w:hAnsi="Century Gothic"/>
                <w:sz w:val="24"/>
                <w:szCs w:val="24"/>
              </w:rPr>
            </w:pPr>
          </w:p>
        </w:tc>
        <w:tc>
          <w:tcPr>
            <w:tcW w:w="2592" w:type="dxa"/>
          </w:tcPr>
          <w:p w14:paraId="5BE7B70C" w14:textId="77777777" w:rsidR="00310AB5" w:rsidRPr="0068128B" w:rsidRDefault="00310AB5" w:rsidP="003D4F23">
            <w:pPr>
              <w:jc w:val="center"/>
              <w:rPr>
                <w:rFonts w:ascii="Century Gothic" w:hAnsi="Century Gothic"/>
                <w:sz w:val="20"/>
                <w:szCs w:val="20"/>
              </w:rPr>
            </w:pPr>
            <w:r w:rsidRPr="0068128B">
              <w:rPr>
                <w:rFonts w:ascii="Century Gothic" w:hAnsi="Century Gothic"/>
                <w:sz w:val="20"/>
                <w:szCs w:val="20"/>
              </w:rPr>
              <w:t>Rosanna Munoz</w:t>
            </w:r>
          </w:p>
          <w:p w14:paraId="636635CD" w14:textId="77777777" w:rsidR="00310AB5" w:rsidRPr="0068128B" w:rsidRDefault="00310AB5" w:rsidP="003D4F23">
            <w:pPr>
              <w:rPr>
                <w:rFonts w:ascii="Century Gothic" w:hAnsi="Century Gothic"/>
                <w:sz w:val="16"/>
                <w:szCs w:val="16"/>
              </w:rPr>
            </w:pPr>
            <w:r w:rsidRPr="0068128B">
              <w:rPr>
                <w:rFonts w:ascii="Century Gothic" w:hAnsi="Century Gothic"/>
                <w:b/>
                <w:bCs/>
                <w:sz w:val="16"/>
                <w:szCs w:val="16"/>
              </w:rPr>
              <w:t>Developing Environmental Literacy in Preschoolers</w:t>
            </w:r>
            <w:r w:rsidRPr="0068128B">
              <w:rPr>
                <w:rFonts w:ascii="Century Gothic" w:hAnsi="Century Gothic"/>
                <w:sz w:val="16"/>
                <w:szCs w:val="16"/>
              </w:rPr>
              <w:t xml:space="preserve"> - In this class, participants will learn why children need nature, what early childhood environmental education looks like, and learn ways to increase nature in their own programs.</w:t>
            </w:r>
          </w:p>
          <w:p w14:paraId="632AEFA2" w14:textId="77777777" w:rsidR="00310AB5" w:rsidRDefault="00310AB5" w:rsidP="003D4F23">
            <w:pPr>
              <w:jc w:val="center"/>
              <w:rPr>
                <w:rFonts w:ascii="Century Gothic" w:hAnsi="Century Gothic"/>
                <w:sz w:val="24"/>
                <w:szCs w:val="24"/>
              </w:rPr>
            </w:pPr>
          </w:p>
        </w:tc>
        <w:tc>
          <w:tcPr>
            <w:tcW w:w="2592" w:type="dxa"/>
          </w:tcPr>
          <w:p w14:paraId="013804DA" w14:textId="77777777" w:rsidR="00310AB5" w:rsidRPr="0068128B" w:rsidRDefault="00310AB5" w:rsidP="003D4F23">
            <w:pPr>
              <w:jc w:val="center"/>
              <w:rPr>
                <w:rFonts w:ascii="Century Gothic" w:hAnsi="Century Gothic"/>
                <w:sz w:val="20"/>
                <w:szCs w:val="20"/>
              </w:rPr>
            </w:pPr>
            <w:r w:rsidRPr="0068128B">
              <w:rPr>
                <w:rFonts w:ascii="Century Gothic" w:hAnsi="Century Gothic"/>
                <w:sz w:val="20"/>
                <w:szCs w:val="20"/>
              </w:rPr>
              <w:t>Carrie Griffin</w:t>
            </w:r>
          </w:p>
          <w:p w14:paraId="5D1EE15B" w14:textId="77777777" w:rsidR="00310AB5" w:rsidRPr="0068128B" w:rsidRDefault="00310AB5" w:rsidP="003D4F23">
            <w:pPr>
              <w:rPr>
                <w:rFonts w:ascii="Century Gothic" w:hAnsi="Century Gothic"/>
                <w:sz w:val="16"/>
                <w:szCs w:val="16"/>
              </w:rPr>
            </w:pPr>
            <w:r w:rsidRPr="0068128B">
              <w:rPr>
                <w:rFonts w:ascii="Century Gothic" w:hAnsi="Century Gothic"/>
                <w:b/>
                <w:bCs/>
                <w:sz w:val="16"/>
                <w:szCs w:val="16"/>
              </w:rPr>
              <w:t>From Seed to Harvest: How to reap the benefits of gardening with children</w:t>
            </w:r>
            <w:r w:rsidRPr="0068128B">
              <w:rPr>
                <w:rFonts w:ascii="Century Gothic" w:hAnsi="Century Gothic"/>
                <w:sz w:val="16"/>
                <w:szCs w:val="16"/>
              </w:rPr>
              <w:t xml:space="preserve"> - Planting a garden and including children in the growing process provides an enormous boost to their understanding of life cycles and the food that nourishes their bodies. In this workshop, participants will see a huge variety of ways to include gardening into their program no matter how small their space or how limited their budget. Different types of gardens will be discussed, from vegetable gardens and sensory gardens to butterfly gardens and herb gardens. Any of these can easily be incorporated into any program and enhance children's knowledge of the natural world. </w:t>
            </w:r>
          </w:p>
          <w:p w14:paraId="04B848D0" w14:textId="77777777" w:rsidR="00310AB5" w:rsidRDefault="00310AB5" w:rsidP="003D4F23">
            <w:pPr>
              <w:jc w:val="center"/>
              <w:rPr>
                <w:rFonts w:ascii="Century Gothic" w:hAnsi="Century Gothic"/>
                <w:sz w:val="24"/>
                <w:szCs w:val="24"/>
              </w:rPr>
            </w:pPr>
          </w:p>
        </w:tc>
      </w:tr>
      <w:tr w:rsidR="00310AB5" w14:paraId="599CF191" w14:textId="77777777" w:rsidTr="003D4F23">
        <w:trPr>
          <w:trHeight w:val="432"/>
        </w:trPr>
        <w:tc>
          <w:tcPr>
            <w:tcW w:w="2158" w:type="dxa"/>
            <w:vAlign w:val="center"/>
          </w:tcPr>
          <w:p w14:paraId="7846ECE9" w14:textId="77777777" w:rsidR="00310AB5" w:rsidRDefault="00310AB5" w:rsidP="003D4F23">
            <w:pPr>
              <w:rPr>
                <w:rFonts w:ascii="Century Gothic" w:hAnsi="Century Gothic"/>
                <w:sz w:val="24"/>
                <w:szCs w:val="24"/>
              </w:rPr>
            </w:pPr>
            <w:r>
              <w:rPr>
                <w:rFonts w:ascii="Century Gothic" w:hAnsi="Century Gothic"/>
                <w:sz w:val="24"/>
                <w:szCs w:val="24"/>
              </w:rPr>
              <w:t>RR D2/D3</w:t>
            </w:r>
          </w:p>
        </w:tc>
        <w:tc>
          <w:tcPr>
            <w:tcW w:w="720" w:type="dxa"/>
          </w:tcPr>
          <w:p w14:paraId="53FBAEB7" w14:textId="77777777" w:rsidR="00310AB5" w:rsidRDefault="00310AB5" w:rsidP="003D4F23">
            <w:pPr>
              <w:jc w:val="center"/>
              <w:rPr>
                <w:rFonts w:ascii="Century Gothic" w:hAnsi="Century Gothic"/>
                <w:sz w:val="24"/>
                <w:szCs w:val="24"/>
              </w:rPr>
            </w:pPr>
            <w:r>
              <w:rPr>
                <w:rFonts w:ascii="Century Gothic" w:hAnsi="Century Gothic"/>
                <w:sz w:val="24"/>
                <w:szCs w:val="24"/>
              </w:rPr>
              <w:t>60</w:t>
            </w:r>
          </w:p>
        </w:tc>
        <w:tc>
          <w:tcPr>
            <w:tcW w:w="2592" w:type="dxa"/>
          </w:tcPr>
          <w:p w14:paraId="796A76EC" w14:textId="77777777" w:rsidR="00310AB5" w:rsidRPr="006E6B99" w:rsidRDefault="00310AB5" w:rsidP="003D4F23">
            <w:pPr>
              <w:jc w:val="center"/>
              <w:rPr>
                <w:rFonts w:ascii="Century Gothic" w:hAnsi="Century Gothic"/>
                <w:sz w:val="20"/>
                <w:szCs w:val="20"/>
              </w:rPr>
            </w:pPr>
            <w:r w:rsidRPr="006E6B99">
              <w:rPr>
                <w:rFonts w:ascii="Century Gothic" w:hAnsi="Century Gothic"/>
                <w:sz w:val="20"/>
                <w:szCs w:val="20"/>
              </w:rPr>
              <w:t>Amy Nelson</w:t>
            </w:r>
          </w:p>
          <w:p w14:paraId="046130C7" w14:textId="77777777" w:rsidR="00310AB5" w:rsidRPr="006E6B99" w:rsidRDefault="00310AB5" w:rsidP="003D4F23">
            <w:pPr>
              <w:rPr>
                <w:rFonts w:ascii="Century Gothic" w:hAnsi="Century Gothic" w:cs="Times New Roman"/>
                <w:sz w:val="16"/>
                <w:szCs w:val="16"/>
              </w:rPr>
            </w:pPr>
            <w:r w:rsidRPr="006E6B99">
              <w:rPr>
                <w:rFonts w:ascii="Century Gothic" w:hAnsi="Century Gothic" w:cs="Calibri"/>
                <w:b/>
                <w:bCs/>
                <w:color w:val="000000"/>
                <w:sz w:val="16"/>
                <w:szCs w:val="16"/>
              </w:rPr>
              <w:t>Coming to our senses, understanding sensory processing disorder – Part 1&amp;2</w:t>
            </w:r>
            <w:r w:rsidRPr="006E6B99">
              <w:rPr>
                <w:rFonts w:ascii="Century Gothic" w:hAnsi="Century Gothic" w:cs="Calibri"/>
                <w:color w:val="000000"/>
                <w:sz w:val="16"/>
                <w:szCs w:val="16"/>
              </w:rPr>
              <w:t xml:space="preserve"> - </w:t>
            </w:r>
            <w:r w:rsidRPr="006E6B99">
              <w:rPr>
                <w:rFonts w:ascii="Century Gothic" w:hAnsi="Century Gothic" w:cs="Times New Roman"/>
                <w:sz w:val="16"/>
                <w:szCs w:val="16"/>
              </w:rPr>
              <w:t>Child Care professionals are called to accommodate and support children with a variety of needs.  Sensory Processing differences are widely unrecognized, since children are developing their need to self-regulate.  Providers can be on the forefront of providing information, resources and supportive services to individuals with sensory processing differences.  This course unpacks the concept of Sensory Processing and how to apply this knowledge.</w:t>
            </w:r>
          </w:p>
          <w:p w14:paraId="1F98EB48" w14:textId="77777777" w:rsidR="00310AB5" w:rsidRDefault="00310AB5" w:rsidP="003D4F23">
            <w:pPr>
              <w:jc w:val="center"/>
              <w:rPr>
                <w:rFonts w:ascii="Century Gothic" w:hAnsi="Century Gothic"/>
                <w:sz w:val="24"/>
                <w:szCs w:val="24"/>
              </w:rPr>
            </w:pPr>
          </w:p>
        </w:tc>
        <w:tc>
          <w:tcPr>
            <w:tcW w:w="2592" w:type="dxa"/>
          </w:tcPr>
          <w:p w14:paraId="4886EA58" w14:textId="77777777" w:rsidR="00310AB5" w:rsidRPr="006E6B99" w:rsidRDefault="00310AB5" w:rsidP="003D4F23">
            <w:pPr>
              <w:jc w:val="center"/>
              <w:rPr>
                <w:rFonts w:ascii="Century Gothic" w:hAnsi="Century Gothic"/>
                <w:sz w:val="20"/>
                <w:szCs w:val="20"/>
              </w:rPr>
            </w:pPr>
            <w:r w:rsidRPr="006E6B99">
              <w:rPr>
                <w:rFonts w:ascii="Century Gothic" w:hAnsi="Century Gothic"/>
                <w:sz w:val="20"/>
                <w:szCs w:val="20"/>
              </w:rPr>
              <w:t>Amy Nelson</w:t>
            </w:r>
          </w:p>
          <w:p w14:paraId="7AD90CDA" w14:textId="77777777" w:rsidR="00310AB5" w:rsidRPr="006E6B99" w:rsidRDefault="00310AB5" w:rsidP="003D4F23">
            <w:pPr>
              <w:rPr>
                <w:rFonts w:ascii="Century Gothic" w:hAnsi="Century Gothic" w:cs="Times New Roman"/>
                <w:sz w:val="16"/>
                <w:szCs w:val="16"/>
              </w:rPr>
            </w:pPr>
            <w:r w:rsidRPr="006E6B99">
              <w:rPr>
                <w:rFonts w:ascii="Century Gothic" w:hAnsi="Century Gothic" w:cs="Calibri"/>
                <w:b/>
                <w:bCs/>
                <w:color w:val="000000"/>
                <w:sz w:val="16"/>
                <w:szCs w:val="16"/>
              </w:rPr>
              <w:t>Coming to our senses, understanding sensory processing disorder – Part 1&amp;2</w:t>
            </w:r>
            <w:r w:rsidRPr="006E6B99">
              <w:rPr>
                <w:rFonts w:ascii="Century Gothic" w:hAnsi="Century Gothic" w:cs="Calibri"/>
                <w:color w:val="000000"/>
                <w:sz w:val="16"/>
                <w:szCs w:val="16"/>
              </w:rPr>
              <w:t xml:space="preserve"> - </w:t>
            </w:r>
            <w:r w:rsidRPr="006E6B99">
              <w:rPr>
                <w:rFonts w:ascii="Century Gothic" w:hAnsi="Century Gothic" w:cs="Times New Roman"/>
                <w:sz w:val="16"/>
                <w:szCs w:val="16"/>
              </w:rPr>
              <w:t>Child Care professionals are called to accommodate and support children with a variety of needs.  Sensory Processing differences are widely unrecognized, since children are developing their need to self-regulate.  Providers can be on the forefront of providing information, resources and supportive services to individuals with sensory processing differences.  This course unpacks the concept of Sensory Processing and how to apply this knowledge.</w:t>
            </w:r>
          </w:p>
          <w:p w14:paraId="73CF140F" w14:textId="77777777" w:rsidR="00310AB5" w:rsidRDefault="00310AB5" w:rsidP="003D4F23">
            <w:pPr>
              <w:jc w:val="center"/>
              <w:rPr>
                <w:rFonts w:ascii="Century Gothic" w:hAnsi="Century Gothic"/>
                <w:sz w:val="24"/>
                <w:szCs w:val="24"/>
              </w:rPr>
            </w:pPr>
          </w:p>
        </w:tc>
        <w:tc>
          <w:tcPr>
            <w:tcW w:w="2592" w:type="dxa"/>
          </w:tcPr>
          <w:p w14:paraId="6A416FDE" w14:textId="77777777" w:rsidR="00310AB5" w:rsidRPr="006E6B99" w:rsidRDefault="00310AB5" w:rsidP="003D4F23">
            <w:pPr>
              <w:jc w:val="center"/>
              <w:rPr>
                <w:rFonts w:ascii="Century Gothic" w:hAnsi="Century Gothic"/>
                <w:sz w:val="20"/>
                <w:szCs w:val="20"/>
              </w:rPr>
            </w:pPr>
            <w:r w:rsidRPr="006E6B99">
              <w:rPr>
                <w:rFonts w:ascii="Century Gothic" w:hAnsi="Century Gothic"/>
                <w:sz w:val="20"/>
                <w:szCs w:val="20"/>
              </w:rPr>
              <w:t>Amy Nelson</w:t>
            </w:r>
          </w:p>
          <w:p w14:paraId="6B6D918E" w14:textId="77777777" w:rsidR="00310AB5" w:rsidRPr="006E6B99" w:rsidRDefault="00310AB5" w:rsidP="003D4F23">
            <w:pPr>
              <w:rPr>
                <w:rFonts w:ascii="Century Gothic" w:hAnsi="Century Gothic" w:cs="Times New Roman"/>
                <w:sz w:val="16"/>
                <w:szCs w:val="16"/>
              </w:rPr>
            </w:pPr>
            <w:r w:rsidRPr="006E6B99">
              <w:rPr>
                <w:rFonts w:ascii="Century Gothic" w:hAnsi="Century Gothic" w:cs="Calibri"/>
                <w:b/>
                <w:bCs/>
                <w:color w:val="000000"/>
                <w:sz w:val="16"/>
                <w:szCs w:val="16"/>
              </w:rPr>
              <w:t>Clear is Kind: Communication to increase compliance</w:t>
            </w:r>
            <w:r w:rsidRPr="006E6B99">
              <w:rPr>
                <w:rFonts w:ascii="Century Gothic" w:hAnsi="Century Gothic" w:cs="Calibri"/>
                <w:color w:val="000000"/>
                <w:sz w:val="16"/>
                <w:szCs w:val="16"/>
              </w:rPr>
              <w:t xml:space="preserve"> - </w:t>
            </w:r>
            <w:r w:rsidRPr="006E6B99">
              <w:rPr>
                <w:rFonts w:ascii="Century Gothic" w:hAnsi="Century Gothic" w:cs="Times New Roman"/>
                <w:sz w:val="16"/>
                <w:szCs w:val="16"/>
              </w:rPr>
              <w:t xml:space="preserve">Concise language involves using the most effective words in order to get one’s point across. Childcare providers may often use words in their sentences that may clutter their message. This may confuse children and result in undesired behavior or lack of compliance. In this training childcare providers will gain a basic understanding of language development and how it impacts compliance. They will learn how to convey a clear message when instructing children in their care. </w:t>
            </w:r>
          </w:p>
          <w:p w14:paraId="6575E2BB" w14:textId="77777777" w:rsidR="00310AB5" w:rsidRDefault="00310AB5" w:rsidP="003D4F23">
            <w:pPr>
              <w:jc w:val="center"/>
              <w:rPr>
                <w:rFonts w:ascii="Century Gothic" w:hAnsi="Century Gothic"/>
                <w:sz w:val="24"/>
                <w:szCs w:val="24"/>
              </w:rPr>
            </w:pPr>
          </w:p>
          <w:p w14:paraId="7687FA5E" w14:textId="77777777" w:rsidR="00310AB5" w:rsidRDefault="00310AB5" w:rsidP="003D4F23">
            <w:pPr>
              <w:jc w:val="center"/>
              <w:rPr>
                <w:rFonts w:ascii="Century Gothic" w:hAnsi="Century Gothic"/>
                <w:sz w:val="24"/>
                <w:szCs w:val="24"/>
              </w:rPr>
            </w:pPr>
          </w:p>
        </w:tc>
      </w:tr>
    </w:tbl>
    <w:p w14:paraId="001B6C9A" w14:textId="77777777" w:rsidR="00B90307" w:rsidRDefault="00B90307">
      <w:bookmarkStart w:id="0" w:name="_GoBack"/>
      <w:bookmarkEnd w:id="0"/>
    </w:p>
    <w:sectPr w:rsidR="00B90307" w:rsidSect="00310AB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B5"/>
    <w:rsid w:val="001B43E9"/>
    <w:rsid w:val="00310AB5"/>
    <w:rsid w:val="003650AA"/>
    <w:rsid w:val="00B9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A2D4"/>
  <w15:chartTrackingRefBased/>
  <w15:docId w15:val="{521924C2-BF8B-4FA2-974A-D76537BF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Carnes</dc:creator>
  <cp:keywords/>
  <dc:description/>
  <cp:lastModifiedBy>Angie Carnes</cp:lastModifiedBy>
  <cp:revision>1</cp:revision>
  <dcterms:created xsi:type="dcterms:W3CDTF">2019-11-20T02:53:00Z</dcterms:created>
  <dcterms:modified xsi:type="dcterms:W3CDTF">2019-11-20T02:54:00Z</dcterms:modified>
</cp:coreProperties>
</file>